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Umowa powierzenia przetwarzania danych osobowych (art. 28 RODO) — wzór</w:t>
      </w:r>
    </w:p>
    <w:p>
      <w:r>
        <w:t>RODO art. 28 · Wzór 13-10-2026</w:t>
      </w:r>
    </w:p>
    <w:p>
      <w:pPr>
        <w:pStyle w:val="Heading1"/>
      </w:pPr>
      <w:r>
        <w:t>Strony</w:t>
      </w:r>
    </w:p>
    <w:p>
      <w:r>
        <w:t>Administrator (Szkoła): {{NAZWA_SZKOLY}}, NIP/REGON {{NIP_SZKOLY}}, adres {{ADRES_SZKOLY}}, reprezentowana przez {{REPREZENTANT}} ({{STANOWISKO}}). Kontakt w sprawie ochrony danych (IOD): {{EMAIL_IOD}}.</w:t>
      </w:r>
    </w:p>
    <w:p>
      <w:r>
        <w:t>Podmiot przetwarzający (Simulath): Amparo Corredor, NIF 22554493A, adres Av. Rei en Jaume I, 3, Walencja (Hiszpania), działająca pod nazwą handlową Simulath. Kontakt: info@simulath.com.</w:t>
      </w:r>
    </w:p>
    <w:p>
      <w:pPr>
        <w:pStyle w:val="Heading1"/>
      </w:pPr>
      <w:r>
        <w:t>1. Przedmiot umowy</w:t>
      </w:r>
    </w:p>
    <w:p>
      <w:r>
        <w:t>Podmiot przetwarzający świadczy na rzecz Szkoły usługę symulatorów edukacyjnych Simulath (wirtualne klasy, laboratoria takie jak ElectraLab, tutor AI i panel nauczyciela) i przetwarza dane osobowe w imieniu Szkoły wyłącznie w zakresie niezbędnym do świadczenia usługi.</w:t>
      </w:r>
    </w:p>
    <w:p>
      <w:pPr>
        <w:pStyle w:val="Heading1"/>
      </w:pPr>
      <w:r>
        <w:t>2. Czas trwania</w:t>
      </w:r>
    </w:p>
    <w:p>
      <w:r>
        <w:t>Przez okres obowiązywania licencji lub pilotażu Szkoły. Po zakończeniu stosuje się pkt 11.</w:t>
      </w:r>
    </w:p>
    <w:p>
      <w:pPr>
        <w:pStyle w:val="Heading1"/>
      </w:pPr>
      <w:r>
        <w:t>3. Charakter i cel</w:t>
      </w:r>
    </w:p>
    <w:p>
      <w:r>
        <w:t>Rejestracja uczniów w klasach za pomocą kodu i pseudonimu; zapis postępów i aktywności w laboratoriach; odpowiedzi tutora AI; zbiorcze informacje dla nauczyciela. Cel: wsparcie dydaktyki zgodnie z decyzją Szkoły. Simulath nie wykorzystuje danych do celów własnych, reklamy ani profilowania.</w:t>
      </w:r>
    </w:p>
    <w:p>
      <w:pPr>
        <w:pStyle w:val="Heading1"/>
      </w:pPr>
      <w:r>
        <w:t>4. Dane i osoby</w:t>
      </w:r>
    </w:p>
    <w:p>
      <w:r>
        <w:t>Osoby: uczniowie (w tym małoletni) i nauczyciele Szkoły. Dane: pseudonim ucznia, klasa, używane laboratoria, postępy, próby, daty aktywności, techniczny identyfikator sesji; wiadomości do tutora AI i kontekst symulacji; e-mail i klasy nauczyciela. Nie są przetwarzane szczególne kategorie danych (art. 9 RODO). Szkoła poinformuje uczniów, aby nie podawali pełnego imienia i nazwiska ani danych osobowych w czacie.</w:t>
      </w:r>
    </w:p>
    <w:p>
      <w:pPr>
        <w:pStyle w:val="Heading1"/>
      </w:pPr>
      <w:r>
        <w:t>5. Obowiązki Szkoły</w:t>
      </w:r>
    </w:p>
    <w:p>
      <w:r>
        <w:t>Określenie podstawy prawnej i poinformowanie uczniów i rodziców (art. 13-14 RODO); przekazywanie tylko niezbędnych danych; wydawanie udokumentowanych poleceń; nadzór nad przetwarzaniem.</w:t>
      </w:r>
    </w:p>
    <w:p>
      <w:pPr>
        <w:pStyle w:val="Heading1"/>
      </w:pPr>
      <w:r>
        <w:t>6. Obowiązki Podmiotu przetwarzającego</w:t>
      </w:r>
    </w:p>
    <w:p>
      <w:r>
        <w:t>a) Przetwarzanie danych wyłącznie na udokumentowane polecenie Szkoły, także w zakresie przekazywania danych do państw trzecich, oraz informowanie, jeśli polecenie narusza prawo. b) Zapewnienie poufności osób upoważnionych. c) Stosowanie środków bezpieczeństwa z pkt 7. d) Przestrzeganie zasad dalszego powierzenia (pkt 8). e) Pomoc w realizacji praw osób (pkt 9). f) Pomoc w wywiązywaniu się z art. 32-36 RODO. g) Usunięcie lub zwrot danych po zakończeniu (pkt 11). h) Udostępnianie informacji niezbędnych do wykazania zgodności i umożliwienie audytów po uprzednim zawiadomieniu. i) Prowadzenie rejestru kategorii czynności przetwarzania (art. 30 ust. 2 RODO).</w:t>
      </w:r>
    </w:p>
    <w:p>
      <w:pPr>
        <w:pStyle w:val="Heading1"/>
      </w:pPr>
      <w:r>
        <w:t>7. Środki bezpieczeństwa</w:t>
      </w:r>
    </w:p>
    <w:p>
      <w:r>
        <w:t>HTTPS/TLS; HSTS; cookies sesyjne Secure i HttpOnly; dostęp do danych ograniczony do właścicielki; uczniowie bez e-maila i hasła (pseudonim); kopie zapasowe {{CZESTOTLIWOSC_KOPII}}; rejestr incydentów.</w:t>
      </w:r>
    </w:p>
    <w:p>
      <w:pPr>
        <w:pStyle w:val="Heading1"/>
      </w:pPr>
      <w:r>
        <w:t>8. Dalsze powierzenie</w:t>
      </w:r>
    </w:p>
    <w:p>
      <w:r>
        <w:t>Szkoła udziela ogólnej zgody na poniższych podprzetwarzających. Podmiot przetwarzający poinformuje Szkołę co najmniej 30 dni przed dodaniem lub zmianą podprzetwarzającego, a Szkoła może wnieść sprzeciw. Każdy podprzetwarzający zostanie zobowiązany do równoważnych obowiązków.</w:t>
      </w:r>
    </w:p>
    <w:p>
      <w:pPr>
        <w:pStyle w:val="Heading1"/>
      </w:pPr>
      <w:r>
        <w:t>9. Prawa osób</w:t>
      </w:r>
    </w:p>
    <w:p>
      <w:r>
        <w:t>Jeśli uczeń, rodzic lub nauczyciel zwróci się do Podmiotu przetwarzającego, ten w ciągu 10 dni roboczych poinformuje Szkołę i pomoże w odpowiedzi (np. eksport lub usunięcie danych klasy lub pseudonimu).</w:t>
      </w:r>
    </w:p>
    <w:p>
      <w:pPr>
        <w:pStyle w:val="Heading1"/>
      </w:pPr>
      <w:r>
        <w:t>10. Naruszenia ochrony danych</w:t>
      </w:r>
    </w:p>
    <w:p>
      <w:r>
        <w:t>Podmiot przetwarzający zgłosi Szkole naruszenie bez zbędnej zwłoki, nie później niż w ciągu 48 godzin od jego stwierdzenia, z informacjami z art. 33 ust. 3 RODO dostępnymi w danym momencie.</w:t>
      </w:r>
    </w:p>
    <w:p>
      <w:pPr>
        <w:pStyle w:val="Heading1"/>
      </w:pPr>
      <w:r>
        <w:t>11. Zakończenie</w:t>
      </w:r>
    </w:p>
    <w:p>
      <w:r>
        <w:t>Według wyboru Szkoły Podmiot przetwarzający zwróci dane (eksport CSV) lub usunie je w ciągu 30 dni od zakończenia usługi, chyba że prawo nakazuje ich przechowywanie, i potwierdzi to na piśmie na żądanie.</w:t>
      </w:r>
    </w:p>
    <w:p>
      <w:pPr>
        <w:pStyle w:val="Heading1"/>
      </w:pPr>
      <w:r>
        <w:t>12. Przekazywanie poza EOG</w:t>
      </w:r>
    </w:p>
    <w:p>
      <w:r>
        <w:t>Niektórzy podprzetwarzający mają siedzibę w USA. Przekazywanie opiera się na EU-US Data Privacy Framework (jeśli dostawca jest certyfikowany) lub standardowych klauzulach umownych (art. 46 RODO).</w:t>
      </w:r>
    </w:p>
    <w:p>
      <w:pPr>
        <w:pStyle w:val="Heading1"/>
      </w:pPr>
      <w:r>
        <w:t>13. Sztuczna inteligencja</w:t>
      </w:r>
    </w:p>
    <w:p>
      <w:r>
        <w:t>Tutor AI zawsze informuje, że jest AI, nie ocenia uczniów i nie podejmuje decyzji; decyzje dydaktyczne należą do nauczyciela. Wiadomości do tutora są przesyłane do OpenAI w celu wygenerowania odpowiedzi.</w:t>
      </w:r>
    </w:p>
    <w:p>
      <w:pPr>
        <w:pStyle w:val="Heading1"/>
      </w:pPr>
      <w:r>
        <w:t>14. Prawo właściwe</w:t>
      </w:r>
    </w:p>
    <w:p>
      <w:r>
        <w:t>Umowa podlega RODO i prawu hiszpańskiemu. W sprawach ochrony danych ma pierwszeństwo przed innymi umowami Stron.</w:t>
      </w:r>
    </w:p>
    <w:p>
      <w:pPr>
        <w:pStyle w:val="Heading1"/>
      </w:pPr>
      <w:r>
        <w:t>Załącznik I — Zatwierdzeni podprzetwarzający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Podprzetwarzający</w:t>
            </w:r>
          </w:p>
        </w:tc>
        <w:tc>
          <w:tcPr>
            <w:tcW w:type="dxa" w:w="2880"/>
          </w:tcPr>
          <w:p>
            <w:r>
              <w:t>Lokalizacja</w:t>
            </w:r>
          </w:p>
        </w:tc>
        <w:tc>
          <w:tcPr>
            <w:tcW w:type="dxa" w:w="2880"/>
          </w:tcPr>
          <w:p>
            <w:r>
              <w:t>Usługa</w:t>
            </w:r>
          </w:p>
        </w:tc>
      </w:tr>
      <w:tr>
        <w:tc>
          <w:tcPr>
            <w:tcW w:type="dxa" w:w="2880"/>
          </w:tcPr>
          <w:p>
            <w:r>
              <w:t>DreamHost, LLC</w:t>
            </w:r>
          </w:p>
        </w:tc>
        <w:tc>
          <w:tcPr>
            <w:tcW w:type="dxa" w:w="2880"/>
          </w:tcPr>
          <w:p>
            <w:r>
              <w:t>US</w:t>
            </w:r>
          </w:p>
        </w:tc>
        <w:tc>
          <w:tcPr>
            <w:tcW w:type="dxa" w:w="2880"/>
          </w:tcPr>
          <w:p>
            <w:r>
              <w:t>Hosting i przechowywanie danych klas</w:t>
            </w:r>
          </w:p>
        </w:tc>
      </w:tr>
      <w:tr>
        <w:tc>
          <w:tcPr>
            <w:tcW w:type="dxa" w:w="2880"/>
          </w:tcPr>
          <w:p>
            <w:r>
              <w:t>OpenAI</w:t>
            </w:r>
          </w:p>
        </w:tc>
        <w:tc>
          <w:tcPr>
            <w:tcW w:type="dxa" w:w="2880"/>
          </w:tcPr>
          <w:p>
            <w:r>
              <w:t>US/EU</w:t>
            </w:r>
          </w:p>
        </w:tc>
        <w:tc>
          <w:tcPr>
            <w:tcW w:type="dxa" w:w="2880"/>
          </w:tcPr>
          <w:p>
            <w:r>
              <w:t>Model językowy tutora AI</w:t>
            </w:r>
          </w:p>
        </w:tc>
      </w:tr>
      <w:tr>
        <w:tc>
          <w:tcPr>
            <w:tcW w:type="dxa" w:w="2880"/>
          </w:tcPr>
          <w:p>
            <w:r>
              <w:t>Stripe Payments Europe, Ltd.</w:t>
            </w:r>
          </w:p>
        </w:tc>
        <w:tc>
          <w:tcPr>
            <w:tcW w:type="dxa" w:w="2880"/>
          </w:tcPr>
          <w:p>
            <w:r>
              <w:t>IE/US</w:t>
            </w:r>
          </w:p>
        </w:tc>
        <w:tc>
          <w:tcPr>
            <w:tcW w:type="dxa" w:w="2880"/>
          </w:tcPr>
          <w:p>
            <w:r>
              <w:t>Płatności za licencję (bez danych uczniów)</w:t>
            </w:r>
          </w:p>
        </w:tc>
      </w:tr>
      <w:tr>
        <w:tc>
          <w:tcPr>
            <w:tcW w:type="dxa" w:w="2880"/>
          </w:tcPr>
          <w:p>
            <w:r>
              <w:t>Vercel Inc.</w:t>
            </w:r>
          </w:p>
        </w:tc>
        <w:tc>
          <w:tcPr>
            <w:tcW w:type="dxa" w:w="2880"/>
          </w:tcPr>
          <w:p>
            <w:r>
              <w:t>US</w:t>
            </w:r>
          </w:p>
        </w:tc>
        <w:tc>
          <w:tcPr>
            <w:tcW w:type="dxa" w:w="2880"/>
          </w:tcPr>
          <w:p>
            <w:r>
              <w:t>Hosting symulatora Call Center AI (tylko jeśli używany)</w:t>
            </w:r>
          </w:p>
        </w:tc>
      </w:tr>
      <w:tr>
        <w:tc>
          <w:tcPr>
            <w:tcW w:type="dxa" w:w="2880"/>
          </w:tcPr>
          <w:p>
            <w:r>
              <w:t>Google Ireland Ltd / Google LLC</w:t>
            </w:r>
          </w:p>
        </w:tc>
        <w:tc>
          <w:tcPr>
            <w:tcW w:type="dxa" w:w="2880"/>
          </w:tcPr>
          <w:p>
            <w:r>
              <w:t>IE/US</w:t>
            </w:r>
          </w:p>
        </w:tc>
        <w:tc>
          <w:tcPr>
            <w:tcW w:type="dxa" w:w="2880"/>
          </w:tcPr>
          <w:p>
            <w:r>
              <w:t>Czcionki internetowe (adres IP przeglądarki)</w:t>
            </w:r>
          </w:p>
        </w:tc>
      </w:tr>
    </w:tbl>
    <w:p>
      <w:pPr>
        <w:pStyle w:val="Heading1"/>
      </w:pPr>
      <w:r>
        <w:t>Podpisy</w:t>
      </w:r>
    </w:p>
    <w:p>
      <w:r>
        <w:t>Za Szkołę: ____________________ Data: __________</w:t>
      </w:r>
    </w:p>
    <w:p>
      <w:r>
        <w:t>Za Podmiot przetwarzający: Amparo Corredor ____________________ Data: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powierzenia przetwarzania danych osobowych (art. 28 RODO) — wzór</dc:title>
  <dc:subject/>
  <dc:creator>Simulath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